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EC" w:rsidRPr="00237ACF" w:rsidRDefault="00AF75EC" w:rsidP="00AF75EC">
      <w:pPr>
        <w:jc w:val="center"/>
        <w:rPr>
          <w:sz w:val="28"/>
          <w:szCs w:val="28"/>
        </w:rPr>
      </w:pPr>
      <w:r w:rsidRPr="00237ACF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EC" w:rsidRPr="00D011E6" w:rsidRDefault="00AF75EC" w:rsidP="00AF75EC">
      <w:pPr>
        <w:jc w:val="both"/>
        <w:rPr>
          <w:b/>
          <w:sz w:val="28"/>
          <w:szCs w:val="28"/>
        </w:rPr>
      </w:pPr>
    </w:p>
    <w:p w:rsidR="00AF75EC" w:rsidRPr="00D011E6" w:rsidRDefault="00422962" w:rsidP="00422962">
      <w:pPr>
        <w:tabs>
          <w:tab w:val="center" w:pos="4819"/>
          <w:tab w:val="left" w:pos="66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ТУМАНОВСКОГО</w:t>
      </w:r>
      <w:r w:rsidR="00AF75EC" w:rsidRPr="00274D0D">
        <w:rPr>
          <w:b/>
          <w:sz w:val="28"/>
          <w:szCs w:val="28"/>
        </w:rPr>
        <w:t xml:space="preserve"> </w:t>
      </w:r>
      <w:r w:rsidR="00AF75EC" w:rsidRPr="00D011E6">
        <w:rPr>
          <w:b/>
          <w:sz w:val="28"/>
          <w:szCs w:val="28"/>
        </w:rPr>
        <w:t xml:space="preserve"> СЕЛЬСКОГО ПОСЕЛЕНИЯ</w:t>
      </w:r>
    </w:p>
    <w:p w:rsidR="00AF75EC" w:rsidRPr="00D011E6" w:rsidRDefault="00AF75EC" w:rsidP="00AF75EC">
      <w:pPr>
        <w:jc w:val="center"/>
        <w:rPr>
          <w:b/>
          <w:sz w:val="28"/>
          <w:szCs w:val="28"/>
        </w:rPr>
      </w:pPr>
      <w:r w:rsidRPr="00D011E6">
        <w:rPr>
          <w:b/>
          <w:sz w:val="28"/>
          <w:szCs w:val="28"/>
        </w:rPr>
        <w:t>ВЯЗЕМСКОГО РАЙОНА СМОЛЕНСКОЙ ОБЛАСТИ</w:t>
      </w:r>
    </w:p>
    <w:p w:rsidR="00AF75EC" w:rsidRPr="00D011E6" w:rsidRDefault="00AF75EC" w:rsidP="00AF75EC">
      <w:pPr>
        <w:jc w:val="center"/>
        <w:rPr>
          <w:b/>
          <w:sz w:val="28"/>
          <w:szCs w:val="28"/>
        </w:rPr>
      </w:pPr>
    </w:p>
    <w:p w:rsidR="00AF75EC" w:rsidRPr="00D011E6" w:rsidRDefault="00571C0A" w:rsidP="00AF7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F75EC" w:rsidRPr="00D011E6">
        <w:rPr>
          <w:b/>
          <w:sz w:val="28"/>
          <w:szCs w:val="28"/>
        </w:rPr>
        <w:t>ОСТАНОВЛЕНИЕ</w:t>
      </w:r>
    </w:p>
    <w:p w:rsidR="00AF75EC" w:rsidRPr="00D011E6" w:rsidRDefault="00AF75EC" w:rsidP="00AF75EC">
      <w:pPr>
        <w:jc w:val="both"/>
        <w:rPr>
          <w:b/>
          <w:sz w:val="28"/>
          <w:szCs w:val="28"/>
        </w:rPr>
      </w:pPr>
    </w:p>
    <w:p w:rsidR="005E0548" w:rsidRDefault="00AA0D79" w:rsidP="00AF75EC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15.06.</w:t>
      </w:r>
      <w:r w:rsidR="00DB3CB3">
        <w:rPr>
          <w:sz w:val="28"/>
          <w:szCs w:val="28"/>
        </w:rPr>
        <w:t>2016</w:t>
      </w:r>
      <w:r w:rsidR="004229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AF75EC" w:rsidRPr="00024225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5E0548" w:rsidRPr="005E0548" w:rsidRDefault="005E0548" w:rsidP="00AF75EC">
      <w:pPr>
        <w:jc w:val="both"/>
      </w:pPr>
      <w:r w:rsidRPr="005E0548">
        <w:t>село Туманово</w:t>
      </w:r>
    </w:p>
    <w:p w:rsidR="00AF75EC" w:rsidRPr="00DD114F" w:rsidRDefault="005E0548" w:rsidP="005E0548">
      <w:pPr>
        <w:tabs>
          <w:tab w:val="left" w:pos="3013"/>
        </w:tabs>
      </w:pPr>
      <w:r>
        <w:rPr>
          <w:sz w:val="28"/>
          <w:szCs w:val="28"/>
        </w:rPr>
        <w:tab/>
      </w:r>
      <w:r w:rsidR="00AF75EC">
        <w:rPr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YSpec="inside"/>
        <w:tblW w:w="0" w:type="auto"/>
        <w:tblLook w:val="04A0"/>
      </w:tblPr>
      <w:tblGrid>
        <w:gridCol w:w="4871"/>
        <w:gridCol w:w="4767"/>
      </w:tblGrid>
      <w:tr w:rsidR="00DB3CB3" w:rsidRPr="00C50B67" w:rsidTr="00DB3CB3">
        <w:tc>
          <w:tcPr>
            <w:tcW w:w="4871" w:type="dxa"/>
          </w:tcPr>
          <w:p w:rsidR="00DB3CB3" w:rsidRPr="008A5111" w:rsidRDefault="00DB3CB3" w:rsidP="00DB3CB3">
            <w:pPr>
              <w:tabs>
                <w:tab w:val="left" w:pos="4080"/>
                <w:tab w:val="left" w:pos="4730"/>
              </w:tabs>
              <w:autoSpaceDE w:val="0"/>
              <w:autoSpaceDN w:val="0"/>
              <w:adjustRightInd w:val="0"/>
              <w:ind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</w:t>
            </w:r>
            <w:r w:rsidRPr="008A5111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и, реализации и оценки эффективности мун</w:t>
            </w:r>
            <w:r w:rsidR="005E0548">
              <w:rPr>
                <w:sz w:val="28"/>
                <w:szCs w:val="28"/>
              </w:rPr>
              <w:t>иципальных программ 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B3CB3" w:rsidRPr="00C50B67" w:rsidRDefault="00DB3CB3" w:rsidP="00DB3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</w:tcPr>
          <w:p w:rsidR="00DB3CB3" w:rsidRPr="00C50B67" w:rsidRDefault="00DB3CB3" w:rsidP="00DB3CB3">
            <w:pPr>
              <w:jc w:val="both"/>
              <w:rPr>
                <w:sz w:val="28"/>
                <w:szCs w:val="28"/>
              </w:rPr>
            </w:pPr>
          </w:p>
        </w:tc>
      </w:tr>
    </w:tbl>
    <w:p w:rsidR="005E0548" w:rsidRDefault="00AF75EC" w:rsidP="00DB3CB3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5E0548" w:rsidRDefault="005E0548" w:rsidP="00DB3CB3">
      <w:pPr>
        <w:ind w:firstLine="708"/>
        <w:jc w:val="both"/>
        <w:rPr>
          <w:spacing w:val="2"/>
          <w:sz w:val="28"/>
          <w:szCs w:val="28"/>
        </w:rPr>
      </w:pPr>
    </w:p>
    <w:p w:rsidR="005E0548" w:rsidRDefault="005E0548" w:rsidP="00DB3CB3">
      <w:pPr>
        <w:ind w:firstLine="708"/>
        <w:jc w:val="both"/>
        <w:rPr>
          <w:spacing w:val="2"/>
          <w:sz w:val="28"/>
          <w:szCs w:val="28"/>
        </w:rPr>
      </w:pPr>
    </w:p>
    <w:p w:rsidR="005E0548" w:rsidRDefault="005E0548" w:rsidP="00DB3CB3">
      <w:pPr>
        <w:ind w:firstLine="708"/>
        <w:jc w:val="both"/>
        <w:rPr>
          <w:spacing w:val="2"/>
          <w:sz w:val="28"/>
          <w:szCs w:val="28"/>
        </w:rPr>
      </w:pPr>
    </w:p>
    <w:p w:rsidR="005E0548" w:rsidRDefault="005E0548" w:rsidP="00DB3CB3">
      <w:pPr>
        <w:ind w:firstLine="708"/>
        <w:jc w:val="both"/>
        <w:rPr>
          <w:spacing w:val="2"/>
          <w:sz w:val="28"/>
          <w:szCs w:val="28"/>
        </w:rPr>
      </w:pPr>
    </w:p>
    <w:p w:rsidR="005E0548" w:rsidRDefault="005E0548" w:rsidP="00DB3CB3">
      <w:pPr>
        <w:ind w:firstLine="708"/>
        <w:jc w:val="both"/>
        <w:rPr>
          <w:spacing w:val="2"/>
          <w:sz w:val="28"/>
          <w:szCs w:val="28"/>
        </w:rPr>
      </w:pPr>
    </w:p>
    <w:p w:rsidR="005E0548" w:rsidRDefault="005E0548" w:rsidP="00DB3CB3">
      <w:pPr>
        <w:ind w:firstLine="708"/>
        <w:jc w:val="both"/>
        <w:rPr>
          <w:spacing w:val="2"/>
          <w:sz w:val="28"/>
          <w:szCs w:val="28"/>
        </w:rPr>
      </w:pPr>
    </w:p>
    <w:p w:rsidR="004C3FEA" w:rsidRDefault="00166301" w:rsidP="004C3FEA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AF75EC">
        <w:rPr>
          <w:spacing w:val="2"/>
          <w:sz w:val="28"/>
          <w:szCs w:val="28"/>
        </w:rPr>
        <w:t>В</w:t>
      </w:r>
      <w:r w:rsidR="00AF75EC" w:rsidRPr="00D961D5">
        <w:rPr>
          <w:sz w:val="28"/>
          <w:szCs w:val="28"/>
        </w:rPr>
        <w:t xml:space="preserve"> </w:t>
      </w:r>
      <w:r w:rsidR="00AF75EC" w:rsidRPr="008A5111">
        <w:rPr>
          <w:sz w:val="28"/>
          <w:szCs w:val="28"/>
        </w:rPr>
        <w:t>целях совершенствования программно-целевого планирования, в соответствии с Бюджетным кодексом Российской Федерации, Постановлением Правительства Российской Федерации от 2 августа 2010 года № 588 «Об утверждении Порядка разработки, реализации и оценки эффективности государственных программ Российской Федерации»</w:t>
      </w:r>
    </w:p>
    <w:p w:rsidR="00AF75EC" w:rsidRPr="00D011E6" w:rsidRDefault="00AF75EC" w:rsidP="004C3FEA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5E0548">
        <w:rPr>
          <w:spacing w:val="2"/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Pr="00D011E6">
        <w:rPr>
          <w:sz w:val="28"/>
          <w:szCs w:val="28"/>
        </w:rPr>
        <w:t xml:space="preserve">дминистрация </w:t>
      </w:r>
      <w:r w:rsidR="005E0548">
        <w:rPr>
          <w:sz w:val="28"/>
          <w:szCs w:val="28"/>
        </w:rPr>
        <w:t xml:space="preserve">Тумановского </w:t>
      </w:r>
      <w:r w:rsidRPr="00D011E6">
        <w:rPr>
          <w:sz w:val="28"/>
          <w:szCs w:val="28"/>
        </w:rPr>
        <w:t xml:space="preserve">сельского поселения Вяземского района Смоленской области  </w:t>
      </w:r>
      <w:r w:rsidRPr="00D011E6">
        <w:rPr>
          <w:rStyle w:val="a4"/>
          <w:sz w:val="28"/>
          <w:szCs w:val="28"/>
        </w:rPr>
        <w:t>постановляет:</w:t>
      </w:r>
    </w:p>
    <w:p w:rsidR="00AF75EC" w:rsidRDefault="00AF75EC" w:rsidP="00AF75E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5E0548">
        <w:rPr>
          <w:spacing w:val="2"/>
          <w:sz w:val="28"/>
          <w:szCs w:val="28"/>
        </w:rPr>
        <w:t xml:space="preserve">  </w:t>
      </w:r>
      <w:r w:rsidRPr="00C812C4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E47E57">
        <w:rPr>
          <w:sz w:val="28"/>
          <w:szCs w:val="28"/>
        </w:rPr>
        <w:t>Утвердить прилагаемый Порядок разработки, реализации и оценки эффективности муниципальных программ</w:t>
      </w:r>
      <w:r w:rsidRPr="00274D0D">
        <w:rPr>
          <w:spacing w:val="2"/>
          <w:sz w:val="28"/>
          <w:szCs w:val="28"/>
        </w:rPr>
        <w:t xml:space="preserve"> </w:t>
      </w:r>
      <w:r w:rsidR="005E0548">
        <w:rPr>
          <w:spacing w:val="2"/>
          <w:sz w:val="28"/>
          <w:szCs w:val="28"/>
        </w:rPr>
        <w:t xml:space="preserve">Тумановского </w:t>
      </w:r>
      <w:r w:rsidRPr="00C812C4">
        <w:rPr>
          <w:spacing w:val="2"/>
          <w:sz w:val="28"/>
          <w:szCs w:val="28"/>
        </w:rPr>
        <w:t xml:space="preserve">сельского поселения </w:t>
      </w:r>
      <w:r>
        <w:rPr>
          <w:spacing w:val="2"/>
          <w:sz w:val="28"/>
          <w:szCs w:val="28"/>
        </w:rPr>
        <w:t>Вяземского</w:t>
      </w:r>
      <w:r w:rsidRPr="00C812C4">
        <w:rPr>
          <w:spacing w:val="2"/>
          <w:sz w:val="28"/>
          <w:szCs w:val="28"/>
        </w:rPr>
        <w:t xml:space="preserve"> района Смоленской области.</w:t>
      </w:r>
    </w:p>
    <w:p w:rsidR="002B08A0" w:rsidRPr="00C812C4" w:rsidRDefault="002B08A0" w:rsidP="00AF75E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 Признать утратившим силу постановление Главы муниципального образования Тумановского сельского поселения Вяземского района Смоленской области от 03.06.2008 № 19 «Об утверждении Порядка принятия решения о разработке долгосрочных целевых программ, их формирования и реализации и Порядка </w:t>
      </w:r>
      <w:proofErr w:type="gramStart"/>
      <w:r>
        <w:rPr>
          <w:spacing w:val="2"/>
          <w:sz w:val="28"/>
          <w:szCs w:val="28"/>
        </w:rPr>
        <w:t>проведения оценки эффективности реализации долгосрочных целевых программ</w:t>
      </w:r>
      <w:proofErr w:type="gramEnd"/>
      <w:r>
        <w:rPr>
          <w:spacing w:val="2"/>
          <w:sz w:val="28"/>
          <w:szCs w:val="28"/>
        </w:rPr>
        <w:t>.</w:t>
      </w:r>
    </w:p>
    <w:p w:rsidR="00AF75EC" w:rsidRPr="005C1F0E" w:rsidRDefault="00AF75EC" w:rsidP="00AF75EC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C812C4">
        <w:rPr>
          <w:spacing w:val="2"/>
          <w:sz w:val="28"/>
          <w:szCs w:val="28"/>
          <w:lang w:val="ru-RU"/>
        </w:rPr>
        <w:t xml:space="preserve">  </w:t>
      </w:r>
      <w:r>
        <w:rPr>
          <w:spacing w:val="2"/>
          <w:sz w:val="28"/>
          <w:szCs w:val="28"/>
          <w:lang w:val="ru-RU"/>
        </w:rPr>
        <w:t xml:space="preserve">   </w:t>
      </w:r>
      <w:r w:rsidRPr="00C812C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5E0548"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 w:rsidR="002B08A0">
        <w:rPr>
          <w:rFonts w:ascii="Times New Roman" w:hAnsi="Times New Roman"/>
          <w:spacing w:val="2"/>
          <w:sz w:val="28"/>
          <w:szCs w:val="28"/>
          <w:lang w:val="ru-RU"/>
        </w:rPr>
        <w:t>3</w:t>
      </w:r>
      <w:r>
        <w:rPr>
          <w:spacing w:val="2"/>
          <w:sz w:val="28"/>
          <w:szCs w:val="28"/>
          <w:lang w:val="ru-RU"/>
        </w:rPr>
        <w:t xml:space="preserve">. 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Обнародовать настоящее</w:t>
      </w:r>
      <w:r w:rsidR="005E05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 на информационном стенде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 w:rsidR="005E05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YANDEX_28"/>
      <w:bookmarkEnd w:id="0"/>
      <w:r w:rsidR="005E054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Тумановского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сельского поселения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Вяземского района Смоленской</w:t>
      </w:r>
      <w:r w:rsidR="005E05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C1F0E" w:rsidRPr="005C1F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области </w:t>
      </w:r>
      <w:r w:rsidR="005C1F0E" w:rsidRPr="005C1F0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C1F0E" w:rsidRPr="005C1F0E">
        <w:rPr>
          <w:rFonts w:ascii="Times New Roman" w:hAnsi="Times New Roman" w:cs="Times New Roman"/>
          <w:sz w:val="28"/>
          <w:szCs w:val="28"/>
        </w:rPr>
        <w:t> </w:t>
      </w:r>
      <w:r w:rsidR="005C1F0E" w:rsidRPr="005C1F0E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 официальном сайте Администрации </w:t>
      </w:r>
      <w:r w:rsidR="005E0548">
        <w:rPr>
          <w:rFonts w:ascii="Times New Roman" w:hAnsi="Times New Roman" w:cs="Times New Roman"/>
          <w:sz w:val="28"/>
          <w:szCs w:val="28"/>
          <w:lang w:val="ru-RU"/>
        </w:rPr>
        <w:t>Тумановского</w:t>
      </w:r>
      <w:r w:rsidR="005C1F0E" w:rsidRPr="005C1F0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области.</w:t>
      </w:r>
      <w:r w:rsidR="005C1F0E" w:rsidRPr="005C1F0E">
        <w:rPr>
          <w:lang w:val="ru-RU"/>
        </w:rPr>
        <w:t xml:space="preserve">  </w:t>
      </w:r>
      <w:r w:rsidR="005C1F0E" w:rsidRPr="005C1F0E">
        <w:rPr>
          <w:sz w:val="28"/>
          <w:szCs w:val="28"/>
          <w:lang w:val="ru-RU"/>
        </w:rPr>
        <w:t xml:space="preserve"> </w:t>
      </w:r>
    </w:p>
    <w:p w:rsidR="00AF75EC" w:rsidRDefault="00AF75EC" w:rsidP="004C3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F0E">
        <w:rPr>
          <w:sz w:val="28"/>
          <w:szCs w:val="28"/>
        </w:rPr>
        <w:t xml:space="preserve">   </w:t>
      </w:r>
      <w:r w:rsidR="005E0548">
        <w:rPr>
          <w:sz w:val="28"/>
          <w:szCs w:val="28"/>
        </w:rPr>
        <w:t xml:space="preserve">   </w:t>
      </w:r>
      <w:r w:rsidR="002B08A0">
        <w:rPr>
          <w:sz w:val="28"/>
          <w:szCs w:val="28"/>
        </w:rPr>
        <w:t>4</w:t>
      </w:r>
      <w:r w:rsidRPr="00D011E6">
        <w:rPr>
          <w:sz w:val="28"/>
          <w:szCs w:val="28"/>
        </w:rPr>
        <w:t xml:space="preserve">. </w:t>
      </w:r>
      <w:proofErr w:type="gramStart"/>
      <w:r w:rsidRPr="00D011E6">
        <w:rPr>
          <w:sz w:val="28"/>
          <w:szCs w:val="28"/>
        </w:rPr>
        <w:t>Контроль за</w:t>
      </w:r>
      <w:proofErr w:type="gramEnd"/>
      <w:r w:rsidRPr="00D011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0548" w:rsidRDefault="005E0548" w:rsidP="00AF7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548" w:rsidRPr="00D011E6" w:rsidRDefault="005E0548" w:rsidP="00AF7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75EC" w:rsidRDefault="00AF75EC" w:rsidP="00AF7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11E6">
        <w:rPr>
          <w:sz w:val="28"/>
          <w:szCs w:val="28"/>
        </w:rPr>
        <w:t xml:space="preserve">Глава </w:t>
      </w:r>
      <w:r w:rsidR="005C1F0E">
        <w:rPr>
          <w:sz w:val="28"/>
          <w:szCs w:val="28"/>
        </w:rPr>
        <w:t xml:space="preserve"> </w:t>
      </w:r>
      <w:r w:rsidRPr="00D011E6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</w:p>
    <w:p w:rsidR="00AF75EC" w:rsidRPr="00D011E6" w:rsidRDefault="005E0548" w:rsidP="00AF7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5C1F0E">
        <w:rPr>
          <w:sz w:val="28"/>
          <w:szCs w:val="28"/>
        </w:rPr>
        <w:t xml:space="preserve"> сельского  </w:t>
      </w:r>
      <w:r w:rsidR="00AF75EC" w:rsidRPr="00D011E6">
        <w:rPr>
          <w:sz w:val="28"/>
          <w:szCs w:val="28"/>
        </w:rPr>
        <w:t>поселения</w:t>
      </w:r>
    </w:p>
    <w:p w:rsidR="00AF75EC" w:rsidRPr="005E0548" w:rsidRDefault="00AF75EC" w:rsidP="00AF75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11E6">
        <w:rPr>
          <w:sz w:val="28"/>
          <w:szCs w:val="28"/>
        </w:rPr>
        <w:t>Вяземского</w:t>
      </w:r>
      <w:r w:rsidR="005C1F0E">
        <w:rPr>
          <w:sz w:val="28"/>
          <w:szCs w:val="28"/>
        </w:rPr>
        <w:t xml:space="preserve"> </w:t>
      </w:r>
      <w:r w:rsidRPr="00D011E6">
        <w:rPr>
          <w:sz w:val="28"/>
          <w:szCs w:val="28"/>
        </w:rPr>
        <w:t>района</w:t>
      </w:r>
      <w:r w:rsidR="005C1F0E">
        <w:rPr>
          <w:sz w:val="28"/>
          <w:szCs w:val="28"/>
        </w:rPr>
        <w:t xml:space="preserve"> </w:t>
      </w:r>
      <w:r w:rsidRPr="00D011E6">
        <w:rPr>
          <w:sz w:val="28"/>
          <w:szCs w:val="28"/>
        </w:rPr>
        <w:t xml:space="preserve">Смоленской области                   </w:t>
      </w:r>
      <w:r>
        <w:rPr>
          <w:sz w:val="28"/>
          <w:szCs w:val="28"/>
        </w:rPr>
        <w:t xml:space="preserve">         </w:t>
      </w:r>
      <w:r w:rsidR="005C1F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E0548">
        <w:rPr>
          <w:sz w:val="28"/>
          <w:szCs w:val="28"/>
        </w:rPr>
        <w:t xml:space="preserve">         </w:t>
      </w:r>
      <w:r w:rsidR="005E0548" w:rsidRPr="005E0548">
        <w:rPr>
          <w:sz w:val="28"/>
          <w:szCs w:val="28"/>
        </w:rPr>
        <w:t>М.Г. Гущина</w:t>
      </w:r>
    </w:p>
    <w:tbl>
      <w:tblPr>
        <w:tblpPr w:leftFromText="180" w:rightFromText="180" w:vertAnchor="text" w:horzAnchor="margin" w:tblpY="182"/>
        <w:tblW w:w="0" w:type="auto"/>
        <w:tblLook w:val="04A0"/>
      </w:tblPr>
      <w:tblGrid>
        <w:gridCol w:w="4831"/>
        <w:gridCol w:w="5483"/>
      </w:tblGrid>
      <w:tr w:rsidR="00DB3CB3" w:rsidRPr="00C50B67" w:rsidTr="000A386A">
        <w:tc>
          <w:tcPr>
            <w:tcW w:w="4831" w:type="dxa"/>
          </w:tcPr>
          <w:p w:rsidR="00DB3CB3" w:rsidRPr="00C50B67" w:rsidRDefault="00DB3CB3" w:rsidP="00DB3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DB3CB3" w:rsidRPr="00024225" w:rsidRDefault="00DB3CB3" w:rsidP="007567AD">
            <w:pPr>
              <w:jc w:val="right"/>
              <w:rPr>
                <w:sz w:val="20"/>
              </w:rPr>
            </w:pPr>
            <w:r w:rsidRPr="00024225">
              <w:rPr>
                <w:sz w:val="20"/>
              </w:rPr>
              <w:t xml:space="preserve">Приложение  </w:t>
            </w:r>
          </w:p>
          <w:p w:rsidR="007567AD" w:rsidRDefault="00DB3CB3" w:rsidP="007567AD">
            <w:pPr>
              <w:jc w:val="right"/>
              <w:rPr>
                <w:sz w:val="20"/>
              </w:rPr>
            </w:pPr>
            <w:r w:rsidRPr="00024225">
              <w:rPr>
                <w:sz w:val="20"/>
              </w:rPr>
              <w:t xml:space="preserve">к постановлению Администрации </w:t>
            </w:r>
          </w:p>
          <w:p w:rsidR="007567AD" w:rsidRDefault="007567AD" w:rsidP="007567AD">
            <w:pPr>
              <w:jc w:val="right"/>
              <w:rPr>
                <w:sz w:val="20"/>
              </w:rPr>
            </w:pPr>
            <w:r>
              <w:rPr>
                <w:sz w:val="20"/>
              </w:rPr>
              <w:t>Тумановского</w:t>
            </w:r>
            <w:r w:rsidR="00DB3CB3" w:rsidRPr="00024225">
              <w:rPr>
                <w:sz w:val="20"/>
              </w:rPr>
              <w:t xml:space="preserve"> сельского поселения </w:t>
            </w:r>
          </w:p>
          <w:p w:rsidR="00DB3CB3" w:rsidRPr="00024225" w:rsidRDefault="00DB3CB3" w:rsidP="007567AD">
            <w:pPr>
              <w:jc w:val="right"/>
              <w:rPr>
                <w:sz w:val="20"/>
              </w:rPr>
            </w:pPr>
            <w:r w:rsidRPr="00024225">
              <w:rPr>
                <w:sz w:val="20"/>
              </w:rPr>
              <w:t xml:space="preserve">Вяземского района Смоленской области </w:t>
            </w:r>
          </w:p>
          <w:p w:rsidR="00DB3CB3" w:rsidRPr="00C50B67" w:rsidRDefault="007567AD" w:rsidP="00AA0D79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</w:t>
            </w:r>
            <w:r w:rsidR="00AA0D79">
              <w:rPr>
                <w:sz w:val="20"/>
              </w:rPr>
              <w:t>от 15.06.</w:t>
            </w:r>
            <w:r>
              <w:rPr>
                <w:sz w:val="20"/>
              </w:rPr>
              <w:t>2016</w:t>
            </w:r>
            <w:r w:rsidR="00DB3CB3" w:rsidRPr="00024225">
              <w:rPr>
                <w:sz w:val="20"/>
              </w:rPr>
              <w:t xml:space="preserve"> №</w:t>
            </w:r>
            <w:r w:rsidR="00DB3CB3">
              <w:rPr>
                <w:sz w:val="20"/>
              </w:rPr>
              <w:t xml:space="preserve"> </w:t>
            </w:r>
            <w:r w:rsidR="00AA0D79">
              <w:rPr>
                <w:sz w:val="20"/>
              </w:rPr>
              <w:t>98</w:t>
            </w:r>
          </w:p>
        </w:tc>
      </w:tr>
      <w:tr w:rsidR="00DB3CB3" w:rsidRPr="00C50B67" w:rsidTr="000A386A">
        <w:tc>
          <w:tcPr>
            <w:tcW w:w="4831" w:type="dxa"/>
          </w:tcPr>
          <w:p w:rsidR="00DB3CB3" w:rsidRPr="00C50B67" w:rsidRDefault="00DB3CB3" w:rsidP="00DB3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3" w:type="dxa"/>
          </w:tcPr>
          <w:p w:rsidR="00DB3CB3" w:rsidRDefault="00DB3CB3" w:rsidP="00DB3CB3">
            <w:pPr>
              <w:jc w:val="both"/>
            </w:pPr>
          </w:p>
        </w:tc>
      </w:tr>
    </w:tbl>
    <w:p w:rsidR="00AF75EC" w:rsidRDefault="00AF75EC" w:rsidP="00AF75EC">
      <w:pPr>
        <w:pStyle w:val="a3"/>
        <w:jc w:val="both"/>
        <w:rPr>
          <w:sz w:val="28"/>
          <w:szCs w:val="28"/>
        </w:rPr>
      </w:pPr>
      <w:bookmarkStart w:id="1" w:name="_GoBack"/>
      <w:bookmarkEnd w:id="1"/>
    </w:p>
    <w:p w:rsidR="00AF75EC" w:rsidRDefault="00AF75EC" w:rsidP="00AF75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AF75EC" w:rsidRDefault="00AF75EC" w:rsidP="005C1F0E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166301">
        <w:rPr>
          <w:b/>
          <w:bCs/>
          <w:color w:val="000000"/>
          <w:sz w:val="28"/>
          <w:szCs w:val="28"/>
        </w:rPr>
        <w:t>Тумановского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r w:rsidR="00166301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="00166301">
        <w:rPr>
          <w:sz w:val="28"/>
          <w:szCs w:val="28"/>
        </w:rPr>
        <w:t>(далее – м</w:t>
      </w:r>
      <w:r>
        <w:rPr>
          <w:sz w:val="28"/>
          <w:szCs w:val="28"/>
        </w:rPr>
        <w:t>униципальные программы)</w:t>
      </w:r>
      <w:r>
        <w:rPr>
          <w:color w:val="000000"/>
          <w:sz w:val="28"/>
          <w:szCs w:val="28"/>
        </w:rPr>
        <w:t xml:space="preserve">, а также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ходом их реализации.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Основные понятия, используемые в настоящем Порядке: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муниципальная программа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система мероприятий (взаимосвязанных  по задачам, срокам и механизмам осуществления, ресурсам и результатам) социально-экономического, организационного, правового, финансового  и иного характера, обеспечивающих достижение стратегических целей в сфере социально-экономического развития сельского поселения;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подпрограмма муниципальной программы</w:t>
      </w:r>
      <w:r>
        <w:rPr>
          <w:color w:val="000000"/>
          <w:sz w:val="28"/>
          <w:szCs w:val="28"/>
        </w:rPr>
        <w:t xml:space="preserve"> (далее именуется – подпрограмма) –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:rsidR="00AF75EC" w:rsidRDefault="00AF75EC" w:rsidP="00AF75EC">
      <w:pPr>
        <w:adjustRightInd w:val="0"/>
        <w:ind w:firstLine="567"/>
        <w:jc w:val="both"/>
        <w:rPr>
          <w:rFonts w:cs="Calibri"/>
        </w:rPr>
      </w:pPr>
      <w:r>
        <w:rPr>
          <w:i/>
          <w:sz w:val="28"/>
          <w:szCs w:val="28"/>
        </w:rPr>
        <w:t>сфера реализации муниципальной программы</w:t>
      </w:r>
      <w:r w:rsidR="001663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AF75EC" w:rsidRDefault="00AF75EC" w:rsidP="00AF75EC">
      <w:pPr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основные параметры муниципальной программы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AF75EC" w:rsidRDefault="00AF75EC" w:rsidP="00AF75EC">
      <w:pPr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проблема социально-экономического развития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противоречие между желаемым (целевым) и текущим (действительным) состоянием сферы реализации муниципальной программы;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задача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совокупность взаимосвязанных мероприятий, направленных на достижение цели (целей) реализации муниципальной программы (подпрограммы);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мероприятие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совокупность взаимосвязанных действий, направленных на решение соответствующей задачи;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показатель (индикатор)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количественно выраженная характеристика достижения цели или решения задачи;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конечный результат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непосредственный результат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участники муниципальной программы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ответственный исполнитель и соисполнители муниципальной программы;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ответственный исполнитель муниципальной программы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орган местного самоуправления </w:t>
      </w:r>
      <w:r w:rsidR="00E01AF7">
        <w:rPr>
          <w:color w:val="000000"/>
          <w:sz w:val="28"/>
          <w:szCs w:val="28"/>
        </w:rPr>
        <w:t>Тумановского</w:t>
      </w:r>
      <w:r w:rsidR="005C1F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026E64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>, определенный ответственным в соответствии с перечнем</w:t>
      </w:r>
      <w:r w:rsidR="00E01AF7">
        <w:rPr>
          <w:sz w:val="28"/>
          <w:szCs w:val="28"/>
        </w:rPr>
        <w:t xml:space="preserve"> муниципальных программ (далее –</w:t>
      </w:r>
      <w:r>
        <w:rPr>
          <w:sz w:val="28"/>
          <w:szCs w:val="28"/>
        </w:rPr>
        <w:t xml:space="preserve"> перечень</w:t>
      </w:r>
      <w:r w:rsidR="00E01AF7">
        <w:rPr>
          <w:sz w:val="28"/>
          <w:szCs w:val="28"/>
        </w:rPr>
        <w:t>), утвержденным постановлением А</w:t>
      </w:r>
      <w:r>
        <w:rPr>
          <w:sz w:val="28"/>
          <w:szCs w:val="28"/>
        </w:rPr>
        <w:t xml:space="preserve">дминистрации </w:t>
      </w:r>
      <w:r w:rsidR="00026E64">
        <w:rPr>
          <w:sz w:val="28"/>
          <w:szCs w:val="28"/>
        </w:rPr>
        <w:t xml:space="preserve">Тумановского </w:t>
      </w:r>
      <w:r>
        <w:rPr>
          <w:sz w:val="28"/>
          <w:szCs w:val="28"/>
        </w:rPr>
        <w:t>сельского поселения</w:t>
      </w:r>
      <w:r w:rsidR="00026E64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>, и обладающий полномочиями, установленными настоящим Порядком;</w:t>
      </w:r>
      <w:proofErr w:type="gramEnd"/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соисполнители муниципальной программы</w:t>
      </w:r>
      <w:r w:rsidR="00E01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органы местного самоуправления </w:t>
      </w:r>
      <w:r w:rsidR="00E01AF7">
        <w:rPr>
          <w:color w:val="000000"/>
          <w:sz w:val="28"/>
          <w:szCs w:val="28"/>
        </w:rPr>
        <w:t>Тумановского</w:t>
      </w:r>
      <w:r w:rsidR="005C1F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026E64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>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факторы риска</w:t>
      </w:r>
      <w:r>
        <w:rPr>
          <w:sz w:val="28"/>
          <w:szCs w:val="28"/>
        </w:rPr>
        <w:t xml:space="preserve"> </w:t>
      </w:r>
      <w:r w:rsidR="00E01AF7">
        <w:rPr>
          <w:sz w:val="28"/>
          <w:szCs w:val="28"/>
        </w:rPr>
        <w:t>–</w:t>
      </w:r>
      <w:r>
        <w:rPr>
          <w:sz w:val="28"/>
          <w:szCs w:val="28"/>
        </w:rPr>
        <w:t xml:space="preserve">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Муниципальная программа разрабатывается на срок</w:t>
      </w:r>
      <w:r w:rsidR="001F3599">
        <w:rPr>
          <w:color w:val="000000"/>
          <w:sz w:val="28"/>
          <w:szCs w:val="28"/>
        </w:rPr>
        <w:t xml:space="preserve"> не менее трех лет</w:t>
      </w:r>
      <w:r>
        <w:rPr>
          <w:color w:val="000000"/>
          <w:sz w:val="28"/>
          <w:szCs w:val="28"/>
        </w:rPr>
        <w:t>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дублирование в муниципальной программе целей, задач, целевых показателей, мероприятий других муниципальных программ.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 Муниципальная программа может содержать подпрограммы.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 Муниципальная программа утверждается постановлением Администрации </w:t>
      </w:r>
      <w:r w:rsidR="00026E64">
        <w:rPr>
          <w:color w:val="000000"/>
          <w:sz w:val="28"/>
          <w:szCs w:val="28"/>
        </w:rPr>
        <w:t>Тумановского</w:t>
      </w:r>
      <w:r w:rsidR="005C1F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026E64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Внесение изменений в муниципальную программу осуществляется в порядке, установленном для разработки и утверждения муниципальных программ.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Требования к содержанию и структуре муниципальной программы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 w:rsidRPr="00DE4687">
        <w:rPr>
          <w:sz w:val="28"/>
          <w:szCs w:val="28"/>
        </w:rPr>
        <w:t>2.1.</w:t>
      </w:r>
      <w:r>
        <w:rPr>
          <w:sz w:val="28"/>
          <w:szCs w:val="28"/>
        </w:rPr>
        <w:t xml:space="preserve">  Муниципальная программа содержит:</w:t>
      </w:r>
    </w:p>
    <w:p w:rsidR="00AF75EC" w:rsidRDefault="00AF75EC" w:rsidP="00AF75E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паспорт муниципальной программы по форме (приложение № 1 к Порядку);</w:t>
      </w:r>
    </w:p>
    <w:p w:rsidR="00AF75EC" w:rsidRDefault="00AF75EC" w:rsidP="00AF75EC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>
        <w:rPr>
          <w:color w:val="000000"/>
          <w:spacing w:val="-4"/>
          <w:sz w:val="28"/>
          <w:szCs w:val="28"/>
        </w:rPr>
        <w:t xml:space="preserve">описание приоритетов </w:t>
      </w:r>
      <w:r w:rsidR="00026E64">
        <w:rPr>
          <w:color w:val="000000"/>
          <w:sz w:val="28"/>
          <w:szCs w:val="28"/>
        </w:rPr>
        <w:t>Тумановского</w:t>
      </w:r>
      <w:r w:rsidR="005C1F0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сельского поселения</w:t>
      </w:r>
      <w:r w:rsidR="00026E64">
        <w:rPr>
          <w:color w:val="000000"/>
          <w:spacing w:val="-4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соответствующей сфере социально-экономического развития: целей, задач, сроков и этапов реализации муниципальной 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целям муниципальной программы: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измеряемость</w:t>
      </w:r>
      <w:proofErr w:type="spellEnd"/>
      <w:r>
        <w:rPr>
          <w:color w:val="000000"/>
          <w:sz w:val="28"/>
          <w:szCs w:val="28"/>
        </w:rPr>
        <w:t xml:space="preserve"> (должна существовать возможность проверки достижения цели);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достижимость (цель должна быть потенциально достижима за период реализации муниципальной программы).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задач должен быть достаточен для достижения соответствующей цели.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основе последовательности решения задач муниципальной программы определяются этапы ее реализации. Для каждого из этапов определяются контрольные сроки, ожидаемые результаты реализации.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основных мероприятий муниципальной программы с указанием сроков их реализации и ожидаемых результатов (приложение № 2 к Порядку);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color w:val="000000"/>
          <w:sz w:val="28"/>
          <w:szCs w:val="28"/>
        </w:rPr>
        <w:t>описание целевых показателей достижения целей и задач, основных ожидаемых конечных результатов муниципальной программы</w:t>
      </w:r>
      <w:r>
        <w:rPr>
          <w:sz w:val="28"/>
          <w:szCs w:val="28"/>
        </w:rPr>
        <w:t>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целевые показатели должны соответствовать следующим требованиям: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точность (погрешности измерения не должны приводить к искаженному</w:t>
      </w:r>
      <w:r>
        <w:rPr>
          <w:color w:val="000000"/>
          <w:sz w:val="28"/>
          <w:szCs w:val="28"/>
        </w:rPr>
        <w:t xml:space="preserve"> представлению о результатах реализации муниципальной программы);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  в процессе мониторинга и оценки муниципальной программы);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сопоставимость</w:t>
      </w:r>
      <w:r w:rsidR="005F0B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(обеспечение сопоставимости целевых показателей за отдельные периоды).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статистической отчетности.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использовать в качестве целевых показателей плановые и фактические значения бюджетных расходов и объемов, вложенных в мероприятие средств за счет других источников.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color w:val="000000"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за счет средств бюджета </w:t>
      </w:r>
      <w:r w:rsidR="005F0B9E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5F0B9E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>, а также прогнозного объема финансирования за счет иных источников (федерального, областного бюджетов, бюджета муниципального района, внебюджетных источников).</w:t>
      </w:r>
    </w:p>
    <w:p w:rsidR="00AF75EC" w:rsidRDefault="00AF75EC" w:rsidP="00AF75E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описание мер муниципального регулирования и управления рисками с целью минимизации их влияния на достижение целей муниципальной программы.</w:t>
      </w:r>
    </w:p>
    <w:p w:rsidR="00AF75EC" w:rsidRDefault="00AF75EC" w:rsidP="00AF75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>
        <w:rPr>
          <w:color w:val="000000"/>
          <w:spacing w:val="-4"/>
          <w:sz w:val="28"/>
          <w:szCs w:val="28"/>
        </w:rPr>
        <w:t>информацию о распределении ответственности</w:t>
      </w:r>
      <w:r>
        <w:rPr>
          <w:color w:val="000000"/>
          <w:sz w:val="28"/>
          <w:szCs w:val="28"/>
        </w:rPr>
        <w:t xml:space="preserve"> и порядке взаимодействия по реализации муниципальной программы между ответственным исполнителем и соисполнителями муниципальной программы. 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Основание, этапы разработки, согласования муниципальной программы и внесения изменений в муниципальную программу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При обосновании необходимости формирования муниципальной программы должны учитываться стратегические приоритеты и цели социально-экономического развития </w:t>
      </w:r>
      <w:r w:rsidR="005F0B9E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5F0B9E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о разработке муниципальной программы должны содержать: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проблемы и анализ причин ее возникновения;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возможные способы решения проблемы, предполагаемый перечень мероприятий, которые необходимо осуществить для решения проблемы, возможные сроки их реализации;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потребность в финансовых ресурсах и возможные источники их обеспечения;</w:t>
      </w:r>
    </w:p>
    <w:p w:rsidR="00AF75EC" w:rsidRDefault="005F0B9E" w:rsidP="005F0B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B3835">
        <w:rPr>
          <w:color w:val="000000"/>
          <w:sz w:val="28"/>
          <w:szCs w:val="28"/>
        </w:rPr>
        <w:t xml:space="preserve">- </w:t>
      </w:r>
      <w:r w:rsidR="00AF75EC">
        <w:rPr>
          <w:color w:val="000000"/>
          <w:sz w:val="28"/>
          <w:szCs w:val="28"/>
        </w:rPr>
        <w:t>наименова</w:t>
      </w:r>
      <w:r w:rsidR="006B3835">
        <w:rPr>
          <w:color w:val="000000"/>
          <w:sz w:val="28"/>
          <w:szCs w:val="28"/>
        </w:rPr>
        <w:t xml:space="preserve">ние ответственного исполнителя, </w:t>
      </w:r>
      <w:r w:rsidR="00AF75EC">
        <w:rPr>
          <w:color w:val="000000"/>
          <w:sz w:val="28"/>
          <w:szCs w:val="28"/>
        </w:rPr>
        <w:t>соисполнителей  муниципальной программы, срок подготовки муниципальной 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Разработка, согласование проекта постановления Администрации </w:t>
      </w:r>
      <w:r w:rsidR="00C056D1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C056D1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об утверждении муниципальной программы (далее именуется – проект муниципальной программы) осуществляется ответственным исполнителем в установленном порядке. 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Муниципальная программа направляется на согласование финансовому органу, контрольно-ревизионной комиссии муниципального района, а также на правовую экспертизу в районный орган прокуратуры.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Экспертиза проекта муниципальной программы осуществляется  в течение 10 календарных дней со дня его поступления.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lastRenderedPageBreak/>
        <w:t>3.5.</w:t>
      </w:r>
      <w:r>
        <w:rPr>
          <w:color w:val="000000"/>
          <w:sz w:val="28"/>
          <w:szCs w:val="28"/>
        </w:rPr>
        <w:t xml:space="preserve"> Финансовый орган  оценивает предоставленный проект муниципальной программы, отражает свои выводы об обоснованности объемов финансирования программных мероприятий.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E4687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Специалист контрольно-ревизионной комиссии оценивает предоставленный проект муниципальной программы, отражает свои выводы в экспертном заключении по следующим вопросам: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обоснованность, комплексность программных мероприятий, сроки их реализации;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механизма реализации муниципальной программы;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принятия муниципальной программы при наличии аналогичной государственной программы;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достижимость и </w:t>
      </w:r>
      <w:proofErr w:type="spellStart"/>
      <w:r>
        <w:rPr>
          <w:color w:val="000000"/>
          <w:sz w:val="28"/>
          <w:szCs w:val="28"/>
        </w:rPr>
        <w:t>измеряемость</w:t>
      </w:r>
      <w:proofErr w:type="spellEnd"/>
      <w:r>
        <w:rPr>
          <w:color w:val="000000"/>
          <w:sz w:val="28"/>
          <w:szCs w:val="28"/>
        </w:rPr>
        <w:t xml:space="preserve"> целевых показателей муниципальной программы;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согласованность сроков реализации, ресурсов и целевых показателей достижения целей и задач муниципальной программы;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ожидаемых конечных результатов муниципальной программы.</w:t>
      </w:r>
    </w:p>
    <w:p w:rsidR="00AF75EC" w:rsidRDefault="00AF75EC" w:rsidP="00AF75EC">
      <w:pPr>
        <w:ind w:firstLine="567"/>
        <w:jc w:val="both"/>
        <w:rPr>
          <w:rFonts w:cs="Calibri"/>
        </w:rPr>
      </w:pPr>
      <w:r w:rsidRPr="00DE4687">
        <w:rPr>
          <w:color w:val="000000"/>
          <w:spacing w:val="-6"/>
          <w:sz w:val="28"/>
          <w:szCs w:val="28"/>
        </w:rPr>
        <w:t>3.7.</w:t>
      </w:r>
      <w:r>
        <w:rPr>
          <w:color w:val="000000"/>
          <w:spacing w:val="-6"/>
          <w:sz w:val="28"/>
          <w:szCs w:val="28"/>
        </w:rPr>
        <w:t xml:space="preserve"> Ответственные исполнители вносят на рассмотрение и согласование</w:t>
      </w:r>
      <w:r>
        <w:rPr>
          <w:color w:val="000000"/>
          <w:sz w:val="28"/>
          <w:szCs w:val="28"/>
        </w:rPr>
        <w:t xml:space="preserve"> в соответствии с настоящим Порядком проекты муниципальных программ (проекты изменений в муниципальные программ</w:t>
      </w:r>
      <w:r w:rsidR="001F3599">
        <w:rPr>
          <w:color w:val="000000"/>
          <w:sz w:val="28"/>
          <w:szCs w:val="28"/>
        </w:rPr>
        <w:t>ы) на следующий год не позднее 31</w:t>
      </w:r>
      <w:r>
        <w:rPr>
          <w:color w:val="000000"/>
          <w:sz w:val="28"/>
          <w:szCs w:val="28"/>
        </w:rPr>
        <w:t xml:space="preserve"> октября текущего года. </w:t>
      </w:r>
    </w:p>
    <w:p w:rsidR="00AF75EC" w:rsidRDefault="00AF75EC" w:rsidP="00AF75EC">
      <w:pPr>
        <w:adjustRightInd w:val="0"/>
        <w:ind w:firstLine="567"/>
        <w:jc w:val="both"/>
        <w:rPr>
          <w:sz w:val="28"/>
          <w:szCs w:val="28"/>
        </w:rPr>
      </w:pPr>
      <w:r w:rsidRPr="00DE4687">
        <w:rPr>
          <w:sz w:val="28"/>
          <w:szCs w:val="28"/>
        </w:rPr>
        <w:t>3.8.</w:t>
      </w:r>
      <w:r>
        <w:rPr>
          <w:sz w:val="28"/>
          <w:szCs w:val="28"/>
        </w:rPr>
        <w:t xml:space="preserve"> Основные параметры утвержденных муниципальных программ подлежат отражению в прогнозе социально-экономического развития </w:t>
      </w:r>
      <w:r w:rsidR="001F3599">
        <w:rPr>
          <w:color w:val="000000"/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</w:t>
      </w:r>
      <w:r w:rsidR="001F3599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>.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 w:rsidRPr="00DE4687">
        <w:rPr>
          <w:sz w:val="28"/>
          <w:szCs w:val="28"/>
        </w:rPr>
        <w:t>3.9.</w:t>
      </w:r>
      <w:r>
        <w:rPr>
          <w:sz w:val="28"/>
          <w:szCs w:val="28"/>
        </w:rPr>
        <w:t xml:space="preserve"> В муниципальную программу (подпрограмму) могут быть внесены изменения в случаях: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bookmarkStart w:id="2" w:name="sub_10221"/>
      <w:r>
        <w:rPr>
          <w:sz w:val="28"/>
          <w:szCs w:val="28"/>
        </w:rPr>
        <w:t>1) снижения ожидаемых поступлений доходов в бюджет сельского поселения;</w:t>
      </w:r>
      <w:bookmarkStart w:id="3" w:name="sub_10222"/>
      <w:bookmarkEnd w:id="2"/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1F3599">
        <w:rPr>
          <w:sz w:val="28"/>
          <w:szCs w:val="28"/>
        </w:rPr>
        <w:t>сключения отдельных полномочий А</w:t>
      </w:r>
      <w:r>
        <w:rPr>
          <w:sz w:val="28"/>
          <w:szCs w:val="28"/>
        </w:rPr>
        <w:t xml:space="preserve">дминистрации </w:t>
      </w:r>
      <w:r w:rsidR="001F3599">
        <w:rPr>
          <w:color w:val="000000"/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</w:t>
      </w:r>
      <w:r w:rsidR="001F3599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 xml:space="preserve"> или их передаче;</w:t>
      </w:r>
      <w:bookmarkStart w:id="4" w:name="sub_10223"/>
      <w:bookmarkEnd w:id="3"/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необходимости включения в муниципальную программу (подпрограмму) дополнительных мероприятий;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bookmarkStart w:id="5" w:name="sub_10224"/>
      <w:bookmarkEnd w:id="4"/>
      <w:r>
        <w:rPr>
          <w:sz w:val="28"/>
          <w:szCs w:val="28"/>
        </w:rPr>
        <w:t>4)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программы;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bookmarkStart w:id="6" w:name="sub_10225"/>
      <w:bookmarkEnd w:id="5"/>
      <w:r>
        <w:rPr>
          <w:sz w:val="28"/>
          <w:szCs w:val="28"/>
        </w:rPr>
        <w:t xml:space="preserve">5) необходимости изменения перечня мероприятий муниципальной программы (подпрограммы), сроков и (или) объемов их финансирования в связи с предоставлением дополнительных средств (средств бюджетов других </w:t>
      </w:r>
      <w:r w:rsidR="001F3599">
        <w:rPr>
          <w:sz w:val="28"/>
          <w:szCs w:val="28"/>
        </w:rPr>
        <w:t>уровней, внебюджетных средств)</w:t>
      </w:r>
      <w:r>
        <w:rPr>
          <w:sz w:val="28"/>
          <w:szCs w:val="28"/>
        </w:rPr>
        <w:t xml:space="preserve"> на их реализацию или изменением объема указанных средств.</w:t>
      </w:r>
      <w:bookmarkStart w:id="7" w:name="sub_1027"/>
      <w:bookmarkEnd w:id="6"/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 w:rsidRPr="00D36788">
        <w:rPr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bookmarkStart w:id="8" w:name="sub_1028"/>
      <w:bookmarkEnd w:id="7"/>
      <w:r>
        <w:rPr>
          <w:sz w:val="28"/>
          <w:szCs w:val="28"/>
        </w:rPr>
        <w:t>В течение финансового года в утвержденные муниципальные программы по инициативе муниципального заказчика могут вноситься следующие изменения: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bookmarkStart w:id="9" w:name="sub_10261"/>
      <w:r>
        <w:rPr>
          <w:sz w:val="28"/>
          <w:szCs w:val="28"/>
        </w:rPr>
        <w:t>1) технические правки, не меняющие цель, объемы бюджетных ассигнований на реализацию муниципальной программы (подпрограммы);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bookmarkStart w:id="10" w:name="sub_10262"/>
      <w:bookmarkEnd w:id="9"/>
      <w:r>
        <w:rPr>
          <w:sz w:val="28"/>
          <w:szCs w:val="28"/>
        </w:rPr>
        <w:lastRenderedPageBreak/>
        <w:t>2) перераспределение бюджетных ассигнований между мероприятиями муниципальной программы (подпрограмм);</w:t>
      </w:r>
    </w:p>
    <w:bookmarkEnd w:id="10"/>
    <w:p w:rsidR="00AF75EC" w:rsidRDefault="00AF75EC" w:rsidP="00AF7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 w:rsidRPr="00D36788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bookmarkStart w:id="11" w:name="sub_1029"/>
      <w:bookmarkEnd w:id="8"/>
      <w:r>
        <w:rPr>
          <w:sz w:val="28"/>
          <w:szCs w:val="28"/>
        </w:rPr>
        <w:t xml:space="preserve">Внесенные изменения в перечень мероприятий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</w:t>
      </w:r>
      <w:r w:rsidR="004D7646">
        <w:rPr>
          <w:color w:val="000000"/>
          <w:sz w:val="28"/>
          <w:szCs w:val="28"/>
        </w:rPr>
        <w:t>Тумановского</w:t>
      </w:r>
      <w:r w:rsidR="006B38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D7646">
        <w:rPr>
          <w:sz w:val="28"/>
          <w:szCs w:val="28"/>
        </w:rPr>
        <w:t xml:space="preserve"> Вяземского района Смоленской </w:t>
      </w:r>
      <w:proofErr w:type="spellStart"/>
      <w:r w:rsidR="004D7646">
        <w:rPr>
          <w:sz w:val="28"/>
          <w:szCs w:val="28"/>
        </w:rPr>
        <w:t>областит</w:t>
      </w:r>
      <w:proofErr w:type="spellEnd"/>
      <w:r>
        <w:rPr>
          <w:sz w:val="28"/>
          <w:szCs w:val="28"/>
        </w:rPr>
        <w:t xml:space="preserve"> о бюджете сельского поселения на текущий финансовый год в соответствии с положениями </w:t>
      </w:r>
      <w:bookmarkEnd w:id="11"/>
      <w:r>
        <w:rPr>
          <w:sz w:val="28"/>
          <w:szCs w:val="28"/>
        </w:rPr>
        <w:t>Бюджетного кодекса РФ.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Финансовое обеспечение реализации муниципальной программы</w:t>
      </w:r>
    </w:p>
    <w:p w:rsidR="00AF75EC" w:rsidRDefault="00DB3CB3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AF75EC">
        <w:rPr>
          <w:color w:val="000000"/>
          <w:sz w:val="28"/>
          <w:szCs w:val="28"/>
        </w:rPr>
        <w:t xml:space="preserve">Финансирование муниципальных программ осуществляется за счет средств бюджета </w:t>
      </w:r>
      <w:r w:rsidR="004D7646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 w:rsidR="00AF75EC">
        <w:rPr>
          <w:color w:val="000000"/>
          <w:sz w:val="28"/>
          <w:szCs w:val="28"/>
        </w:rPr>
        <w:t>сельского поселения</w:t>
      </w:r>
      <w:r w:rsidR="004D7646">
        <w:rPr>
          <w:color w:val="000000"/>
          <w:sz w:val="28"/>
          <w:szCs w:val="28"/>
        </w:rPr>
        <w:t xml:space="preserve"> Вяземского района Смоленской области</w:t>
      </w:r>
      <w:r w:rsidR="00AF75EC">
        <w:rPr>
          <w:color w:val="000000"/>
          <w:sz w:val="28"/>
          <w:szCs w:val="28"/>
        </w:rPr>
        <w:t>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бюджетных ассигнований на реализацию муниципальных программ (подпрограмм) утверждается</w:t>
      </w:r>
      <w:r w:rsidR="004D7646">
        <w:rPr>
          <w:color w:val="000000"/>
          <w:sz w:val="28"/>
          <w:szCs w:val="28"/>
        </w:rPr>
        <w:t xml:space="preserve"> решением Совета</w:t>
      </w:r>
      <w:r>
        <w:rPr>
          <w:color w:val="000000"/>
          <w:sz w:val="28"/>
          <w:szCs w:val="28"/>
        </w:rPr>
        <w:t xml:space="preserve"> депутатов </w:t>
      </w:r>
      <w:r w:rsidR="004D7646">
        <w:rPr>
          <w:color w:val="000000"/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4D7646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«О бюджете </w:t>
      </w:r>
      <w:r w:rsidR="004D7646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Вяземского района Смоленской обла</w:t>
      </w:r>
      <w:r w:rsidR="004D7646">
        <w:rPr>
          <w:color w:val="000000"/>
          <w:sz w:val="28"/>
          <w:szCs w:val="28"/>
        </w:rPr>
        <w:t>сти на очередной финансовый год и плановый период</w:t>
      </w:r>
      <w:r>
        <w:rPr>
          <w:color w:val="000000"/>
          <w:sz w:val="28"/>
          <w:szCs w:val="28"/>
        </w:rPr>
        <w:t>».</w:t>
      </w:r>
    </w:p>
    <w:p w:rsidR="00AF75EC" w:rsidRDefault="00AF75EC" w:rsidP="00AF75EC">
      <w:pPr>
        <w:ind w:firstLine="567"/>
        <w:jc w:val="both"/>
        <w:rPr>
          <w:sz w:val="28"/>
          <w:szCs w:val="28"/>
        </w:rPr>
      </w:pPr>
      <w:r w:rsidRPr="00D36788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Муниципальная программа подлежит приведению в соответствие с решением Советом депутатов </w:t>
      </w:r>
      <w:r w:rsidR="004D7646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4D7646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«О бюджете </w:t>
      </w:r>
      <w:r w:rsidR="004D7646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Вяземского района Смоленской области на очередной финансовый год и плановый период»  не позднее двух месяцев со дня вступления его в силу.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Управление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  муниципальной программы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36788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36788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Ответственный исполнитель муниципальной программы с учетом</w:t>
      </w:r>
      <w:r>
        <w:rPr>
          <w:color w:val="000000"/>
          <w:sz w:val="28"/>
          <w:szCs w:val="28"/>
        </w:rPr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36788">
        <w:rPr>
          <w:color w:val="000000"/>
          <w:spacing w:val="-4"/>
          <w:sz w:val="28"/>
          <w:szCs w:val="28"/>
        </w:rPr>
        <w:t>5.3.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внесении изменений в муниципальную программу не допускается: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изменение целей и задач, для комплексного решения которых была принята муниципальная программа;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pacing w:val="-4"/>
          <w:sz w:val="28"/>
          <w:szCs w:val="28"/>
        </w:rPr>
        <w:t>изменение целевых показателей, планируемых конечных результатов,</w:t>
      </w:r>
      <w:r>
        <w:rPr>
          <w:color w:val="000000"/>
          <w:sz w:val="28"/>
          <w:szCs w:val="28"/>
        </w:rPr>
        <w:t xml:space="preserve"> приводящих к ухудшению социально-экономических последствий ее реализации.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D36788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 Ответственный исполнитель муниципальной программы подготавливает и до 01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представляет в финансовый орган  годовой доклад о ходе реализации муниципальной программы. 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доклад должен содержать: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конкретные результаты, достигнутые за отчетный период;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мероприятий, выполненных и невыполненных (с указанием причин) в установленные сроки;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факторов, повлиявших на ход реализации муниципальной программы;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данные об объеме затраченных на реализацию муниципальной </w:t>
      </w:r>
      <w:r>
        <w:rPr>
          <w:color w:val="000000"/>
          <w:sz w:val="28"/>
          <w:szCs w:val="28"/>
        </w:rPr>
        <w:t>программы финансовых ресурсов;</w:t>
      </w:r>
    </w:p>
    <w:p w:rsidR="00AF75EC" w:rsidRDefault="00AF75EC" w:rsidP="00AF75EC">
      <w:pPr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информацию о внесенных изменениях в муниципальную программу;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информацию для оценки эффективности реализации муниципальной </w:t>
      </w:r>
      <w:r>
        <w:rPr>
          <w:color w:val="000000"/>
          <w:sz w:val="28"/>
          <w:szCs w:val="28"/>
        </w:rPr>
        <w:t>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По муниципальной  программе, срок реализации которой завершается</w:t>
      </w:r>
      <w:r>
        <w:rPr>
          <w:color w:val="000000"/>
          <w:sz w:val="28"/>
          <w:szCs w:val="28"/>
        </w:rPr>
        <w:t xml:space="preserve"> в отчетном году, ответственный исполнитель муниципальной программы подготавливает и до 01 марта года, следующего за отчетным, представляет в финансовый орган   годовой доклад о выполнении муниципальной программы за весь период ее реализации.</w:t>
      </w:r>
      <w:proofErr w:type="gramEnd"/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C332BA"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Администрация поселения </w:t>
      </w:r>
      <w:r>
        <w:rPr>
          <w:color w:val="000000"/>
          <w:spacing w:val="-4"/>
          <w:sz w:val="28"/>
          <w:szCs w:val="28"/>
        </w:rPr>
        <w:t>до 01 апреля года, следующего за отчетным, подготавливает и представляет</w:t>
      </w:r>
      <w:r>
        <w:rPr>
          <w:color w:val="000000"/>
          <w:sz w:val="28"/>
          <w:szCs w:val="28"/>
        </w:rPr>
        <w:t xml:space="preserve"> главе муниципального образования </w:t>
      </w:r>
      <w:r w:rsidR="00451653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451653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сводный доклад о ходе реализации муниципальных программ, содержащий оценку эффективности реализации муниципальных программ.</w:t>
      </w:r>
      <w:proofErr w:type="gramEnd"/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C332BA">
        <w:rPr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 xml:space="preserve"> Сводный доклад о ходе реализации муниципальных программ размещается на официальном сайте муниципального района или сельского поселения в сети Интернет.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Оценка эффективности реализации муниципальной программы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C332BA"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Оценка эффективности реализации муниципальной программы осуществляется путем ежегодного сопоставления: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фактических и планируемых значений целевых показателей муниципальной программы;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фактических и планируемых финансовых расходов из всех источников на реализацию муниципальной программы;</w:t>
      </w:r>
    </w:p>
    <w:p w:rsidR="00AF75EC" w:rsidRDefault="00AF75EC" w:rsidP="00AF75E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числа выполненных и планируемых мероприятий плана реализации  муниципальной программы.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C332BA"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Ответственный исполнитель муниципальной программы предоставляет  главе муниципального образования сельского поселения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</w:t>
      </w:r>
      <w:r>
        <w:rPr>
          <w:color w:val="000000"/>
          <w:spacing w:val="-6"/>
          <w:sz w:val="28"/>
          <w:szCs w:val="28"/>
        </w:rPr>
        <w:t>целевых показателей.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 w:rsidRPr="00C332BA">
        <w:rPr>
          <w:color w:val="000000"/>
          <w:spacing w:val="-8"/>
          <w:sz w:val="28"/>
          <w:szCs w:val="28"/>
        </w:rPr>
        <w:t>6.3.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процессе проведения оценки эффективности реализации </w:t>
      </w:r>
      <w:r>
        <w:rPr>
          <w:color w:val="000000"/>
          <w:spacing w:val="-6"/>
          <w:sz w:val="28"/>
          <w:szCs w:val="28"/>
        </w:rPr>
        <w:t xml:space="preserve">муниципальных программ </w:t>
      </w:r>
      <w:r>
        <w:rPr>
          <w:color w:val="000000"/>
          <w:sz w:val="28"/>
          <w:szCs w:val="28"/>
        </w:rPr>
        <w:t>осуществляется: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сопоставление значений достигнутых целевых показателей с плановыми</w:t>
      </w:r>
      <w:r>
        <w:rPr>
          <w:color w:val="000000"/>
          <w:sz w:val="28"/>
          <w:szCs w:val="28"/>
        </w:rPr>
        <w:t xml:space="preserve"> значениями целевых показателей, содержащимися в муниципальной программе; 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сопоставление фактических сроков реализации мероприятий муниципальной программы с планируемыми.</w:t>
      </w:r>
    </w:p>
    <w:p w:rsidR="00AF75EC" w:rsidRDefault="00AF75EC" w:rsidP="00AF75E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результатам указанной оценки, не позднее одного месяца до дня внесения проекта решения об утверждении бюджета </w:t>
      </w:r>
      <w:r w:rsidR="00D87393">
        <w:rPr>
          <w:color w:val="000000"/>
          <w:sz w:val="28"/>
          <w:szCs w:val="28"/>
        </w:rPr>
        <w:t>Тумановского</w:t>
      </w:r>
      <w:r w:rsidR="006B38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D87393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на очередной финансовый год и плановый период в Совет депутатов </w:t>
      </w:r>
      <w:r w:rsidR="00D87393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proofErr w:type="gramEnd"/>
    </w:p>
    <w:p w:rsidR="00AF75EC" w:rsidRPr="00C332BA" w:rsidRDefault="00AF75EC" w:rsidP="00AF75EC">
      <w:pPr>
        <w:ind w:firstLine="567"/>
        <w:jc w:val="both"/>
        <w:rPr>
          <w:color w:val="000000"/>
          <w:sz w:val="28"/>
          <w:szCs w:val="28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DB3CB3" w:rsidRDefault="00DB3CB3" w:rsidP="00AF75EC">
      <w:pPr>
        <w:ind w:left="5103"/>
        <w:jc w:val="right"/>
        <w:rPr>
          <w:color w:val="000000"/>
        </w:rPr>
      </w:pPr>
    </w:p>
    <w:p w:rsidR="00AF75EC" w:rsidRDefault="00AF75EC" w:rsidP="006B3835">
      <w:pPr>
        <w:rPr>
          <w:color w:val="000000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CD0716" w:rsidRDefault="00CD0716" w:rsidP="00AF75EC">
      <w:pPr>
        <w:ind w:left="5103"/>
        <w:jc w:val="right"/>
        <w:rPr>
          <w:color w:val="000000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t xml:space="preserve">к порядку разработки, </w:t>
      </w: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t>реализации и оценки эффективности</w:t>
      </w: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t>муниципальных программ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AF75EC" w:rsidRDefault="00AF75EC" w:rsidP="00AF75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AF75EC" w:rsidRDefault="00AF75EC" w:rsidP="00AF75EC">
      <w:pPr>
        <w:jc w:val="center"/>
        <w:rPr>
          <w:color w:val="000000"/>
        </w:rPr>
      </w:pPr>
      <w:r>
        <w:rPr>
          <w:color w:val="000000"/>
        </w:rPr>
        <w:t>(наименование программы)</w:t>
      </w:r>
    </w:p>
    <w:p w:rsidR="00AF75EC" w:rsidRDefault="00AF75EC" w:rsidP="00AF75EC">
      <w:pPr>
        <w:jc w:val="center"/>
        <w:rPr>
          <w:color w:val="000000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2"/>
        <w:gridCol w:w="11"/>
        <w:gridCol w:w="13"/>
        <w:gridCol w:w="6282"/>
        <w:gridCol w:w="46"/>
      </w:tblGrid>
      <w:tr w:rsidR="00AF75EC" w:rsidTr="00C056D1">
        <w:trPr>
          <w:gridAfter w:val="1"/>
          <w:wAfter w:w="42" w:type="dxa"/>
          <w:trHeight w:val="406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color w:val="000000"/>
              </w:rPr>
              <w:br w:type="page"/>
            </w:r>
            <w:r>
              <w:rPr>
                <w:bCs/>
              </w:rPr>
              <w:t>Наименование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spacing w:after="160" w:line="256" w:lineRule="auto"/>
              <w:jc w:val="both"/>
              <w:rPr>
                <w:bCs/>
              </w:rPr>
            </w:pPr>
          </w:p>
        </w:tc>
      </w:tr>
      <w:tr w:rsidR="00AF75EC" w:rsidTr="00C056D1">
        <w:trPr>
          <w:gridAfter w:val="1"/>
          <w:wAfter w:w="42" w:type="dxa"/>
          <w:trHeight w:val="714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Основание для разработки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AF75EC" w:rsidTr="00C056D1">
        <w:trPr>
          <w:gridAfter w:val="1"/>
          <w:wAfter w:w="42" w:type="dxa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Муниципальный  заказчик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</w:rPr>
            </w:pPr>
          </w:p>
        </w:tc>
      </w:tr>
      <w:tr w:rsidR="00AF75EC" w:rsidTr="00C056D1">
        <w:trPr>
          <w:gridAfter w:val="1"/>
          <w:wAfter w:w="42" w:type="dxa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Разработчик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</w:rPr>
            </w:pPr>
          </w:p>
        </w:tc>
      </w:tr>
      <w:tr w:rsidR="00AF75EC" w:rsidTr="00C056D1">
        <w:trPr>
          <w:gridAfter w:val="1"/>
          <w:wAfter w:w="42" w:type="dxa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Основная цель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F75EC" w:rsidTr="00C056D1">
        <w:trPr>
          <w:gridAfter w:val="1"/>
          <w:wAfter w:w="42" w:type="dxa"/>
          <w:trHeight w:val="614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Основные задачи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5EC" w:rsidTr="00C056D1">
        <w:trPr>
          <w:gridAfter w:val="1"/>
          <w:wAfter w:w="42" w:type="dxa"/>
          <w:trHeight w:val="25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Сроки реализации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</w:rPr>
            </w:pPr>
          </w:p>
        </w:tc>
      </w:tr>
      <w:tr w:rsidR="00AF75EC" w:rsidTr="00C056D1">
        <w:trPr>
          <w:gridAfter w:val="1"/>
          <w:wAfter w:w="42" w:type="dxa"/>
          <w:trHeight w:val="25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Перечень подпрограмм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</w:rPr>
            </w:pPr>
          </w:p>
        </w:tc>
      </w:tr>
      <w:tr w:rsidR="00AF75EC" w:rsidTr="00C056D1">
        <w:trPr>
          <w:gridAfter w:val="1"/>
          <w:wAfter w:w="42" w:type="dxa"/>
          <w:trHeight w:val="25"/>
          <w:jc w:val="center"/>
        </w:trPr>
        <w:tc>
          <w:tcPr>
            <w:tcW w:w="375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5788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</w:rPr>
            </w:pPr>
          </w:p>
        </w:tc>
      </w:tr>
      <w:tr w:rsidR="00AF75EC" w:rsidTr="00C056D1">
        <w:trPr>
          <w:jc w:val="center"/>
        </w:trPr>
        <w:tc>
          <w:tcPr>
            <w:tcW w:w="3778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Исполнитель Программы</w:t>
            </w:r>
          </w:p>
        </w:tc>
        <w:tc>
          <w:tcPr>
            <w:tcW w:w="5808" w:type="dxa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F75EC" w:rsidTr="00C056D1">
        <w:trPr>
          <w:jc w:val="center"/>
        </w:trPr>
        <w:tc>
          <w:tcPr>
            <w:tcW w:w="3778" w:type="dxa"/>
            <w:gridSpan w:val="3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Объемы и источники финансирования Программы</w:t>
            </w:r>
          </w:p>
        </w:tc>
        <w:tc>
          <w:tcPr>
            <w:tcW w:w="5808" w:type="dxa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F75EC" w:rsidTr="00C056D1">
        <w:trPr>
          <w:trHeight w:val="459"/>
          <w:jc w:val="center"/>
        </w:trPr>
        <w:tc>
          <w:tcPr>
            <w:tcW w:w="3766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5820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75EC" w:rsidTr="00C056D1">
        <w:trPr>
          <w:jc w:val="center"/>
        </w:trPr>
        <w:tc>
          <w:tcPr>
            <w:tcW w:w="3766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5820" w:type="dxa"/>
            <w:gridSpan w:val="3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F75EC" w:rsidRDefault="00AF75EC" w:rsidP="00C056D1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75EC" w:rsidRDefault="00AF75EC" w:rsidP="00AF75EC">
      <w:pPr>
        <w:rPr>
          <w:color w:val="000000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t xml:space="preserve">к порядку разработки, </w:t>
      </w:r>
    </w:p>
    <w:p w:rsidR="00AF75EC" w:rsidRDefault="00AF75EC" w:rsidP="00AF75EC">
      <w:pPr>
        <w:ind w:left="5103"/>
        <w:jc w:val="right"/>
        <w:rPr>
          <w:color w:val="000000"/>
        </w:rPr>
      </w:pPr>
      <w:r>
        <w:rPr>
          <w:color w:val="000000"/>
        </w:rPr>
        <w:t>реализации и оценки эффективности</w:t>
      </w:r>
    </w:p>
    <w:p w:rsidR="00AF75EC" w:rsidRDefault="00AF75EC" w:rsidP="00AF75EC">
      <w:pPr>
        <w:jc w:val="right"/>
        <w:rPr>
          <w:color w:val="000000"/>
        </w:rPr>
      </w:pPr>
      <w:r>
        <w:rPr>
          <w:color w:val="000000"/>
        </w:rPr>
        <w:t>муниципальных программ</w:t>
      </w:r>
    </w:p>
    <w:p w:rsidR="00AF75EC" w:rsidRDefault="00AF75EC" w:rsidP="00AF75EC">
      <w:pPr>
        <w:jc w:val="right"/>
        <w:rPr>
          <w:color w:val="000000"/>
          <w:sz w:val="28"/>
          <w:szCs w:val="28"/>
        </w:rPr>
      </w:pPr>
    </w:p>
    <w:p w:rsidR="00AF75EC" w:rsidRDefault="00AF75EC" w:rsidP="00AF75EC">
      <w:pPr>
        <w:spacing w:before="225" w:after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программных мероприятий муниципальной программы</w:t>
      </w: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992"/>
        <w:gridCol w:w="1627"/>
        <w:gridCol w:w="1960"/>
        <w:gridCol w:w="1442"/>
        <w:gridCol w:w="1276"/>
        <w:gridCol w:w="1417"/>
      </w:tblGrid>
      <w:tr w:rsidR="00AF75EC" w:rsidTr="00C056D1">
        <w:tc>
          <w:tcPr>
            <w:tcW w:w="600" w:type="dxa"/>
            <w:vMerge w:val="restart"/>
          </w:tcPr>
          <w:p w:rsidR="00AF75EC" w:rsidRDefault="00AF75EC" w:rsidP="00C056D1">
            <w:pPr>
              <w:spacing w:before="225" w:after="22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92" w:type="dxa"/>
            <w:vMerge w:val="restart"/>
          </w:tcPr>
          <w:p w:rsidR="00AF75EC" w:rsidRDefault="00AF75EC" w:rsidP="00C056D1">
            <w:pPr>
              <w:ind w:left="170"/>
              <w:rPr>
                <w:b/>
              </w:rPr>
            </w:pPr>
          </w:p>
          <w:p w:rsidR="00AF75EC" w:rsidRDefault="00AF75EC" w:rsidP="00C056D1">
            <w:pPr>
              <w:ind w:left="170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F75EC" w:rsidRDefault="00AF75EC" w:rsidP="00C056D1">
            <w:pPr>
              <w:ind w:left="170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27" w:type="dxa"/>
            <w:vMerge w:val="restart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60" w:type="dxa"/>
            <w:vMerge w:val="restart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Исполнители и получатели бюджетных средств</w:t>
            </w:r>
          </w:p>
        </w:tc>
        <w:tc>
          <w:tcPr>
            <w:tcW w:w="4135" w:type="dxa"/>
            <w:gridSpan w:val="3"/>
          </w:tcPr>
          <w:p w:rsidR="00AF75EC" w:rsidRDefault="00AF75EC" w:rsidP="00C056D1">
            <w:pPr>
              <w:rPr>
                <w:b/>
              </w:rPr>
            </w:pPr>
            <w:r>
              <w:rPr>
                <w:b/>
              </w:rPr>
              <w:t>Объемы финансирования из бюджета поселения по годам</w:t>
            </w:r>
          </w:p>
          <w:p w:rsidR="00AF75EC" w:rsidRDefault="00AF75EC" w:rsidP="00C056D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(тыс. руб.)</w:t>
            </w:r>
          </w:p>
        </w:tc>
      </w:tr>
      <w:tr w:rsidR="00AF75EC" w:rsidTr="00C056D1">
        <w:tc>
          <w:tcPr>
            <w:tcW w:w="0" w:type="auto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F75EC" w:rsidRDefault="00AF75EC" w:rsidP="00C056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F75EC" w:rsidRDefault="00AF75EC" w:rsidP="00C056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F75EC" w:rsidRDefault="00AF75EC" w:rsidP="00C056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5EC" w:rsidTr="00C056D1">
        <w:tc>
          <w:tcPr>
            <w:tcW w:w="600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75EC" w:rsidRDefault="00AF75EC" w:rsidP="00C056D1">
            <w:pPr>
              <w:spacing w:before="225" w:after="2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27"/>
        <w:gridCol w:w="2020"/>
        <w:gridCol w:w="2267"/>
        <w:gridCol w:w="2524"/>
      </w:tblGrid>
      <w:tr w:rsidR="00AF75EC" w:rsidTr="00C056D1">
        <w:tc>
          <w:tcPr>
            <w:tcW w:w="710" w:type="dxa"/>
          </w:tcPr>
          <w:p w:rsidR="00AF75EC" w:rsidRDefault="00AF75EC" w:rsidP="00C056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27" w:type="dxa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20" w:type="dxa"/>
          </w:tcPr>
          <w:p w:rsidR="00AF75EC" w:rsidRDefault="00AF75EC" w:rsidP="00C056D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267" w:type="dxa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524" w:type="dxa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AF75EC" w:rsidTr="00C056D1">
        <w:tc>
          <w:tcPr>
            <w:tcW w:w="710" w:type="dxa"/>
            <w:vAlign w:val="center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7" w:type="dxa"/>
            <w:vAlign w:val="center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0" w:type="dxa"/>
            <w:vAlign w:val="center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7" w:type="dxa"/>
            <w:vAlign w:val="center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4" w:type="dxa"/>
            <w:vAlign w:val="center"/>
          </w:tcPr>
          <w:p w:rsidR="00AF75EC" w:rsidRDefault="00AF75EC" w:rsidP="00C056D1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</w:p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3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752"/>
        <w:gridCol w:w="1890"/>
        <w:gridCol w:w="1981"/>
        <w:gridCol w:w="780"/>
        <w:gridCol w:w="433"/>
        <w:gridCol w:w="483"/>
        <w:gridCol w:w="565"/>
        <w:gridCol w:w="1835"/>
      </w:tblGrid>
      <w:tr w:rsidR="00AF75EC" w:rsidTr="00C056D1">
        <w:trPr>
          <w:trHeight w:val="20"/>
        </w:trPr>
        <w:tc>
          <w:tcPr>
            <w:tcW w:w="29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4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916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056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9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Ожидаемые результаты, экономическая эффективность</w:t>
            </w:r>
          </w:p>
        </w:tc>
      </w:tr>
      <w:tr w:rsidR="00AF75EC" w:rsidTr="00C056D1">
        <w:trPr>
          <w:trHeight w:val="20"/>
        </w:trPr>
        <w:tc>
          <w:tcPr>
            <w:tcW w:w="290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849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916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960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7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890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</w:tr>
      <w:tr w:rsidR="00AF75EC" w:rsidTr="00C056D1">
        <w:trPr>
          <w:trHeight w:val="20"/>
        </w:trPr>
        <w:tc>
          <w:tcPr>
            <w:tcW w:w="290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849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916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960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378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  <w:tc>
          <w:tcPr>
            <w:tcW w:w="21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</w:p>
        </w:tc>
        <w:tc>
          <w:tcPr>
            <w:tcW w:w="27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5EC" w:rsidRDefault="00AF75EC" w:rsidP="00C056D1">
            <w:pPr>
              <w:spacing w:after="160" w:line="204" w:lineRule="auto"/>
              <w:jc w:val="center"/>
              <w:rPr>
                <w:b/>
              </w:rPr>
            </w:pPr>
          </w:p>
        </w:tc>
        <w:tc>
          <w:tcPr>
            <w:tcW w:w="890" w:type="pct"/>
            <w:vMerge/>
            <w:vAlign w:val="center"/>
          </w:tcPr>
          <w:p w:rsidR="00AF75EC" w:rsidRDefault="00AF75EC" w:rsidP="00C056D1">
            <w:pPr>
              <w:rPr>
                <w:b/>
              </w:rPr>
            </w:pPr>
          </w:p>
        </w:tc>
      </w:tr>
      <w:tr w:rsidR="00AF75EC" w:rsidTr="00C056D1">
        <w:trPr>
          <w:trHeight w:val="20"/>
        </w:trPr>
        <w:tc>
          <w:tcPr>
            <w:tcW w:w="29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1</w:t>
            </w:r>
          </w:p>
        </w:tc>
        <w:tc>
          <w:tcPr>
            <w:tcW w:w="8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2</w:t>
            </w:r>
          </w:p>
        </w:tc>
        <w:tc>
          <w:tcPr>
            <w:tcW w:w="91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3</w:t>
            </w:r>
          </w:p>
        </w:tc>
        <w:tc>
          <w:tcPr>
            <w:tcW w:w="96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4</w:t>
            </w:r>
          </w:p>
        </w:tc>
        <w:tc>
          <w:tcPr>
            <w:tcW w:w="37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5</w:t>
            </w:r>
          </w:p>
        </w:tc>
        <w:tc>
          <w:tcPr>
            <w:tcW w:w="21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6</w:t>
            </w:r>
          </w:p>
        </w:tc>
        <w:tc>
          <w:tcPr>
            <w:tcW w:w="23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7</w:t>
            </w:r>
          </w:p>
        </w:tc>
        <w:tc>
          <w:tcPr>
            <w:tcW w:w="27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F75EC" w:rsidRDefault="00AF75EC" w:rsidP="00C056D1">
            <w:pPr>
              <w:spacing w:after="160" w:line="204" w:lineRule="auto"/>
              <w:jc w:val="center"/>
            </w:pPr>
            <w:r>
              <w:t>9</w:t>
            </w:r>
          </w:p>
        </w:tc>
      </w:tr>
    </w:tbl>
    <w:p w:rsidR="00AF75EC" w:rsidRDefault="00AF75EC" w:rsidP="00AF75EC">
      <w:pPr>
        <w:spacing w:before="225" w:after="225"/>
        <w:jc w:val="center"/>
        <w:rPr>
          <w:color w:val="000000"/>
          <w:sz w:val="28"/>
          <w:szCs w:val="28"/>
        </w:rPr>
      </w:pPr>
    </w:p>
    <w:p w:rsidR="00AF75EC" w:rsidRDefault="00AF75EC" w:rsidP="00AF75EC">
      <w:pPr>
        <w:adjustRightInd w:val="0"/>
        <w:jc w:val="center"/>
        <w:outlineLvl w:val="1"/>
        <w:rPr>
          <w:rFonts w:cs="Calibri"/>
        </w:rPr>
      </w:pPr>
    </w:p>
    <w:p w:rsidR="00AF75EC" w:rsidRDefault="00AF75EC" w:rsidP="00AF75EC"/>
    <w:p w:rsidR="00AF75EC" w:rsidRPr="00D011E6" w:rsidRDefault="00AF75EC" w:rsidP="00AF75EC">
      <w:pPr>
        <w:pStyle w:val="a9"/>
        <w:ind w:firstLine="0"/>
      </w:pPr>
    </w:p>
    <w:p w:rsidR="008A107B" w:rsidRDefault="008A107B"/>
    <w:sectPr w:rsidR="008A107B" w:rsidSect="005E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F3" w:rsidRDefault="001911F3" w:rsidP="00B7706E">
      <w:r>
        <w:separator/>
      </w:r>
    </w:p>
  </w:endnote>
  <w:endnote w:type="continuationSeparator" w:id="0">
    <w:p w:rsidR="001911F3" w:rsidRDefault="001911F3" w:rsidP="00B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D1" w:rsidRDefault="00C056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D1" w:rsidRDefault="00C056D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D1" w:rsidRDefault="00C056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F3" w:rsidRDefault="001911F3" w:rsidP="00B7706E">
      <w:r>
        <w:separator/>
      </w:r>
    </w:p>
  </w:footnote>
  <w:footnote w:type="continuationSeparator" w:id="0">
    <w:p w:rsidR="001911F3" w:rsidRDefault="001911F3" w:rsidP="00B7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D1" w:rsidRDefault="00C056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60718"/>
      <w:docPartObj>
        <w:docPartGallery w:val="Page Numbers (Top of Page)"/>
        <w:docPartUnique/>
      </w:docPartObj>
    </w:sdtPr>
    <w:sdtContent>
      <w:p w:rsidR="00C056D1" w:rsidRDefault="007C7F96">
        <w:pPr>
          <w:pStyle w:val="ab"/>
          <w:jc w:val="center"/>
        </w:pPr>
        <w:fldSimple w:instr="PAGE   \* MERGEFORMAT">
          <w:r w:rsidR="00AA0D79">
            <w:rPr>
              <w:noProof/>
            </w:rPr>
            <w:t>11</w:t>
          </w:r>
        </w:fldSimple>
      </w:p>
    </w:sdtContent>
  </w:sdt>
  <w:p w:rsidR="00C056D1" w:rsidRDefault="00C056D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D1" w:rsidRDefault="00C056D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AB2"/>
    <w:rsid w:val="00026E64"/>
    <w:rsid w:val="00047F2D"/>
    <w:rsid w:val="000A386A"/>
    <w:rsid w:val="00123E67"/>
    <w:rsid w:val="00166301"/>
    <w:rsid w:val="001911F3"/>
    <w:rsid w:val="001F3599"/>
    <w:rsid w:val="002B08A0"/>
    <w:rsid w:val="00422962"/>
    <w:rsid w:val="00451653"/>
    <w:rsid w:val="004C3FEA"/>
    <w:rsid w:val="004D7646"/>
    <w:rsid w:val="00571C0A"/>
    <w:rsid w:val="005B0740"/>
    <w:rsid w:val="005C1F0E"/>
    <w:rsid w:val="005E0548"/>
    <w:rsid w:val="005F0B9E"/>
    <w:rsid w:val="006B3835"/>
    <w:rsid w:val="00750AB2"/>
    <w:rsid w:val="007567AD"/>
    <w:rsid w:val="007C7F96"/>
    <w:rsid w:val="007E0506"/>
    <w:rsid w:val="008A107B"/>
    <w:rsid w:val="00A20CF6"/>
    <w:rsid w:val="00AA0D79"/>
    <w:rsid w:val="00AF75EC"/>
    <w:rsid w:val="00B7706E"/>
    <w:rsid w:val="00BE766B"/>
    <w:rsid w:val="00C056D1"/>
    <w:rsid w:val="00CD0716"/>
    <w:rsid w:val="00D87393"/>
    <w:rsid w:val="00DB3CB3"/>
    <w:rsid w:val="00E01AF7"/>
    <w:rsid w:val="00E70B26"/>
    <w:rsid w:val="00F20665"/>
    <w:rsid w:val="00F8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5EC"/>
    <w:pPr>
      <w:spacing w:before="100" w:beforeAutospacing="1" w:after="100" w:afterAutospacing="1"/>
    </w:pPr>
  </w:style>
  <w:style w:type="character" w:styleId="a4">
    <w:name w:val="Strong"/>
    <w:qFormat/>
    <w:rsid w:val="00AF75EC"/>
    <w:rPr>
      <w:b/>
      <w:bCs/>
    </w:rPr>
  </w:style>
  <w:style w:type="character" w:styleId="a5">
    <w:name w:val="Hyperlink"/>
    <w:rsid w:val="00AF75EC"/>
    <w:rPr>
      <w:color w:val="0000FF"/>
      <w:u w:val="single"/>
    </w:rPr>
  </w:style>
  <w:style w:type="character" w:customStyle="1" w:styleId="a6">
    <w:name w:val="Без интервала Знак"/>
    <w:link w:val="a7"/>
    <w:locked/>
    <w:rsid w:val="00AF75EC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AF75EC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9"/>
    <w:locked/>
    <w:rsid w:val="00AF75EC"/>
    <w:rPr>
      <w:i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8"/>
    <w:unhideWhenUsed/>
    <w:rsid w:val="00AF75EC"/>
    <w:pPr>
      <w:ind w:firstLine="397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F7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AF75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b">
    <w:name w:val="header"/>
    <w:basedOn w:val="a"/>
    <w:link w:val="ac"/>
    <w:uiPriority w:val="99"/>
    <w:unhideWhenUsed/>
    <w:rsid w:val="00B770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70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3C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7D96-E103-4E33-A74F-68B4F3C2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2016-06-14T09:47:00Z</cp:lastPrinted>
  <dcterms:created xsi:type="dcterms:W3CDTF">2016-08-08T11:56:00Z</dcterms:created>
  <dcterms:modified xsi:type="dcterms:W3CDTF">2016-08-08T11:57:00Z</dcterms:modified>
</cp:coreProperties>
</file>